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23" w:rsidRDefault="00841322" w:rsidP="00841322">
      <w:pPr>
        <w:ind w:right="-630"/>
        <w:rPr>
          <w:rFonts w:asciiTheme="majorHAnsi" w:hAnsiTheme="majorHAnsi" w:cs="Arial"/>
          <w:sz w:val="40"/>
          <w:szCs w:val="40"/>
        </w:rPr>
      </w:pPr>
      <w:r>
        <w:rPr>
          <w:rFonts w:ascii="Arial" w:hAnsi="Arial" w:cs="Arial"/>
          <w:noProof/>
          <w:sz w:val="40"/>
          <w:szCs w:val="40"/>
        </w:rPr>
        <w:drawing>
          <wp:inline distT="0" distB="0" distL="0" distR="0">
            <wp:extent cx="1758919" cy="581025"/>
            <wp:effectExtent l="0" t="0" r="0" b="0"/>
            <wp:docPr id="1" name="Picture 1" descr="H:\CAPPS\capps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PPS\capps_logo_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2016" cy="585352"/>
                    </a:xfrm>
                    <a:prstGeom prst="rect">
                      <a:avLst/>
                    </a:prstGeom>
                    <a:noFill/>
                    <a:ln>
                      <a:noFill/>
                    </a:ln>
                  </pic:spPr>
                </pic:pic>
              </a:graphicData>
            </a:graphic>
          </wp:inline>
        </w:drawing>
      </w:r>
      <w:r w:rsidR="00513DA0" w:rsidRPr="00513DA0">
        <w:rPr>
          <w:rFonts w:ascii="Arial" w:hAnsi="Arial" w:cs="Arial"/>
          <w:sz w:val="40"/>
          <w:szCs w:val="40"/>
        </w:rPr>
        <w:t xml:space="preserve"> </w:t>
      </w:r>
      <w:r w:rsidR="00442D53">
        <w:rPr>
          <w:rFonts w:asciiTheme="majorHAnsi" w:hAnsiTheme="majorHAnsi" w:cs="Arial"/>
          <w:sz w:val="40"/>
          <w:szCs w:val="40"/>
        </w:rPr>
        <w:t xml:space="preserve">General Ledger </w:t>
      </w:r>
      <w:proofErr w:type="spellStart"/>
      <w:r w:rsidR="00442D53">
        <w:rPr>
          <w:rFonts w:asciiTheme="majorHAnsi" w:hAnsiTheme="majorHAnsi" w:cs="Arial"/>
          <w:sz w:val="40"/>
          <w:szCs w:val="40"/>
        </w:rPr>
        <w:t>ChartF</w:t>
      </w:r>
      <w:r w:rsidR="00513DA0" w:rsidRPr="00841322">
        <w:rPr>
          <w:rFonts w:asciiTheme="majorHAnsi" w:hAnsiTheme="majorHAnsi" w:cs="Arial"/>
          <w:sz w:val="40"/>
          <w:szCs w:val="40"/>
        </w:rPr>
        <w:t>ields</w:t>
      </w:r>
      <w:proofErr w:type="spellEnd"/>
      <w:r w:rsidR="00AE4AB5">
        <w:rPr>
          <w:rFonts w:asciiTheme="majorHAnsi" w:hAnsiTheme="majorHAnsi" w:cs="Arial"/>
          <w:sz w:val="40"/>
          <w:szCs w:val="40"/>
        </w:rPr>
        <w:t xml:space="preserve"> &amp; Definitions</w:t>
      </w:r>
    </w:p>
    <w:p w:rsidR="00AE4AB5" w:rsidRPr="00AE4AB5" w:rsidRDefault="00AE4AB5" w:rsidP="00841322">
      <w:pPr>
        <w:ind w:right="-630"/>
        <w:rPr>
          <w:rFonts w:cs="Arial"/>
          <w:sz w:val="24"/>
          <w:szCs w:val="24"/>
        </w:rPr>
      </w:pPr>
      <w:r>
        <w:rPr>
          <w:rFonts w:cs="Arial"/>
          <w:sz w:val="24"/>
          <w:szCs w:val="24"/>
        </w:rPr>
        <w:t xml:space="preserve">This chart lists the </w:t>
      </w:r>
      <w:proofErr w:type="spellStart"/>
      <w:r>
        <w:rPr>
          <w:rFonts w:cs="Arial"/>
          <w:sz w:val="24"/>
          <w:szCs w:val="24"/>
        </w:rPr>
        <w:t>ChartFields</w:t>
      </w:r>
      <w:proofErr w:type="spellEnd"/>
      <w:r>
        <w:rPr>
          <w:rFonts w:cs="Arial"/>
          <w:sz w:val="24"/>
          <w:szCs w:val="24"/>
        </w:rPr>
        <w:t xml:space="preserve"> that </w:t>
      </w:r>
      <w:r w:rsidR="00642F72">
        <w:rPr>
          <w:rFonts w:cs="Arial"/>
          <w:sz w:val="24"/>
          <w:szCs w:val="24"/>
        </w:rPr>
        <w:t>are available for</w:t>
      </w:r>
      <w:r>
        <w:rPr>
          <w:rFonts w:cs="Arial"/>
          <w:sz w:val="24"/>
          <w:szCs w:val="24"/>
        </w:rPr>
        <w:t xml:space="preserve"> use when entering Requisitions, Purchase Orders, Vouchers and accounting journal entries into CAPPS.</w:t>
      </w:r>
      <w:r w:rsidR="00642F72">
        <w:rPr>
          <w:rFonts w:cs="Arial"/>
          <w:sz w:val="24"/>
          <w:szCs w:val="24"/>
        </w:rPr>
        <w:t xml:space="preserve"> The Yellow fields are actively being used by all Courts of Appeals and judicial agencies. Purple Fields are only being used by one or two agencies. White fields are NOT currently being used.</w:t>
      </w:r>
    </w:p>
    <w:tbl>
      <w:tblPr>
        <w:tblW w:w="97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90"/>
        <w:gridCol w:w="5626"/>
      </w:tblGrid>
      <w:tr w:rsidR="00642F72" w:rsidRPr="00841322" w:rsidTr="00D572D6">
        <w:trPr>
          <w:cantSplit/>
          <w:tblHeader/>
        </w:trPr>
        <w:tc>
          <w:tcPr>
            <w:tcW w:w="1817" w:type="dxa"/>
            <w:shd w:val="clear" w:color="auto" w:fill="FFFFFF" w:themeFill="background1"/>
            <w:vAlign w:val="center"/>
          </w:tcPr>
          <w:p w:rsidR="00642F72" w:rsidRPr="00841322" w:rsidRDefault="00464D48" w:rsidP="00FE0345">
            <w:pPr>
              <w:pStyle w:val="TOC1"/>
              <w:rPr>
                <w:rFonts w:asciiTheme="majorHAnsi" w:hAnsiTheme="majorHAnsi"/>
              </w:rPr>
            </w:pPr>
            <w:r>
              <w:rPr>
                <w:rFonts w:asciiTheme="majorHAnsi" w:hAnsiTheme="majorHAnsi"/>
              </w:rPr>
              <w:t xml:space="preserve">CAPPS </w:t>
            </w:r>
            <w:r w:rsidR="00642F72" w:rsidRPr="00841322">
              <w:rPr>
                <w:rFonts w:asciiTheme="majorHAnsi" w:hAnsiTheme="majorHAnsi"/>
              </w:rPr>
              <w:t>ChartField</w:t>
            </w:r>
          </w:p>
        </w:tc>
        <w:tc>
          <w:tcPr>
            <w:tcW w:w="2290" w:type="dxa"/>
            <w:shd w:val="clear" w:color="auto" w:fill="FFFFFF" w:themeFill="background1"/>
            <w:vAlign w:val="center"/>
          </w:tcPr>
          <w:p w:rsidR="00642F72" w:rsidRPr="00841322" w:rsidRDefault="00642F72" w:rsidP="00E45AA5">
            <w:pPr>
              <w:pStyle w:val="StyleTableheading12pt"/>
              <w:spacing w:before="60" w:after="60"/>
              <w:rPr>
                <w:rFonts w:asciiTheme="majorHAnsi" w:hAnsiTheme="majorHAnsi" w:cs="Arial"/>
                <w:sz w:val="20"/>
              </w:rPr>
            </w:pPr>
            <w:r w:rsidRPr="00841322">
              <w:rPr>
                <w:rFonts w:asciiTheme="majorHAnsi" w:hAnsiTheme="majorHAnsi" w:cs="Arial"/>
                <w:sz w:val="20"/>
              </w:rPr>
              <w:t>USAS Value</w:t>
            </w:r>
          </w:p>
        </w:tc>
        <w:tc>
          <w:tcPr>
            <w:tcW w:w="5626" w:type="dxa"/>
            <w:shd w:val="clear" w:color="auto" w:fill="FFFFFF" w:themeFill="background1"/>
            <w:vAlign w:val="center"/>
          </w:tcPr>
          <w:p w:rsidR="00642F72" w:rsidRPr="00841322" w:rsidRDefault="00642F72" w:rsidP="00E45AA5">
            <w:pPr>
              <w:pStyle w:val="NormalWeb"/>
              <w:spacing w:before="60" w:beforeAutospacing="0" w:after="60" w:afterAutospacing="0"/>
              <w:jc w:val="center"/>
              <w:rPr>
                <w:rFonts w:asciiTheme="majorHAnsi" w:hAnsiTheme="majorHAnsi" w:cs="Arial"/>
                <w:b/>
                <w:bCs/>
                <w:sz w:val="20"/>
                <w:szCs w:val="20"/>
              </w:rPr>
            </w:pPr>
            <w:r>
              <w:rPr>
                <w:rFonts w:asciiTheme="majorHAnsi" w:hAnsiTheme="majorHAnsi" w:cs="Arial"/>
                <w:b/>
                <w:bCs/>
                <w:sz w:val="20"/>
                <w:szCs w:val="20"/>
              </w:rPr>
              <w:t>Definition</w:t>
            </w:r>
          </w:p>
        </w:tc>
      </w:tr>
      <w:tr w:rsidR="00642F72" w:rsidRPr="00841322" w:rsidTr="00727147">
        <w:trPr>
          <w:cantSplit/>
          <w:trHeight w:val="611"/>
        </w:trPr>
        <w:tc>
          <w:tcPr>
            <w:tcW w:w="1817" w:type="dxa"/>
            <w:shd w:val="clear" w:color="auto" w:fill="FFFF99"/>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Account</w:t>
            </w:r>
          </w:p>
        </w:tc>
        <w:tc>
          <w:tcPr>
            <w:tcW w:w="2290" w:type="dxa"/>
            <w:shd w:val="clear" w:color="auto" w:fill="FFFF99"/>
          </w:tcPr>
          <w:p w:rsidR="00642F72" w:rsidRPr="00841322" w:rsidRDefault="00642F72" w:rsidP="00E45AA5">
            <w:pPr>
              <w:rPr>
                <w:rFonts w:asciiTheme="majorHAnsi" w:hAnsiTheme="majorHAnsi" w:cs="Arial"/>
                <w:szCs w:val="20"/>
              </w:rPr>
            </w:pPr>
            <w:r w:rsidRPr="00841322">
              <w:rPr>
                <w:rFonts w:asciiTheme="majorHAnsi" w:hAnsiTheme="majorHAnsi" w:cs="Arial"/>
                <w:szCs w:val="20"/>
              </w:rPr>
              <w:t xml:space="preserve">Comptroller GL account or Object </w:t>
            </w:r>
          </w:p>
        </w:tc>
        <w:tc>
          <w:tcPr>
            <w:tcW w:w="5626" w:type="dxa"/>
            <w:shd w:val="clear" w:color="auto" w:fill="FFFF99"/>
          </w:tcPr>
          <w:p w:rsidR="00642F72" w:rsidRPr="00841322" w:rsidRDefault="00642F72" w:rsidP="00E45AA5">
            <w:pPr>
              <w:spacing w:after="0"/>
              <w:ind w:right="-3888"/>
              <w:rPr>
                <w:rFonts w:asciiTheme="majorHAnsi" w:hAnsiTheme="majorHAnsi" w:cs="Arial"/>
                <w:szCs w:val="20"/>
              </w:rPr>
            </w:pPr>
            <w:r w:rsidRPr="00841322">
              <w:rPr>
                <w:rFonts w:asciiTheme="majorHAnsi" w:hAnsiTheme="majorHAnsi" w:cs="Arial"/>
                <w:szCs w:val="20"/>
              </w:rPr>
              <w:t>Balance sheet account or operating account (object) for each</w:t>
            </w:r>
          </w:p>
          <w:p w:rsidR="00642F72" w:rsidRPr="00841322" w:rsidRDefault="00642F72" w:rsidP="00E45AA5">
            <w:pPr>
              <w:spacing w:after="0"/>
              <w:ind w:right="-3888"/>
              <w:rPr>
                <w:rFonts w:asciiTheme="majorHAnsi" w:hAnsiTheme="majorHAnsi" w:cs="Arial"/>
                <w:szCs w:val="20"/>
              </w:rPr>
            </w:pPr>
            <w:r w:rsidRPr="00841322">
              <w:rPr>
                <w:rFonts w:asciiTheme="majorHAnsi" w:hAnsiTheme="majorHAnsi" w:cs="Arial"/>
                <w:szCs w:val="20"/>
              </w:rPr>
              <w:t>Financial transaction.</w:t>
            </w:r>
          </w:p>
        </w:tc>
      </w:tr>
      <w:tr w:rsidR="00642F72" w:rsidRPr="00841322" w:rsidTr="00727147">
        <w:trPr>
          <w:cantSplit/>
        </w:trPr>
        <w:tc>
          <w:tcPr>
            <w:tcW w:w="1817" w:type="dxa"/>
            <w:shd w:val="clear" w:color="auto" w:fill="FFFF99"/>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Fund</w:t>
            </w:r>
          </w:p>
          <w:p w:rsidR="00642F72" w:rsidRPr="00841322" w:rsidRDefault="00642F72" w:rsidP="00E45AA5">
            <w:pPr>
              <w:spacing w:after="60"/>
              <w:rPr>
                <w:rFonts w:asciiTheme="majorHAnsi" w:hAnsiTheme="majorHAnsi" w:cs="Arial"/>
                <w:szCs w:val="20"/>
              </w:rPr>
            </w:pPr>
          </w:p>
        </w:tc>
        <w:tc>
          <w:tcPr>
            <w:tcW w:w="2290" w:type="dxa"/>
            <w:shd w:val="clear" w:color="auto" w:fill="FFFF99"/>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D23 Agency Fund</w:t>
            </w:r>
          </w:p>
        </w:tc>
        <w:tc>
          <w:tcPr>
            <w:tcW w:w="5626" w:type="dxa"/>
            <w:shd w:val="clear" w:color="auto" w:fill="FFFF99"/>
          </w:tcPr>
          <w:p w:rsidR="00642F72" w:rsidRPr="00841322" w:rsidRDefault="00642F72" w:rsidP="00E45AA5">
            <w:pPr>
              <w:rPr>
                <w:rFonts w:asciiTheme="majorHAnsi" w:hAnsiTheme="majorHAnsi" w:cs="Arial"/>
                <w:szCs w:val="20"/>
              </w:rPr>
            </w:pPr>
            <w:r w:rsidRPr="00841322">
              <w:rPr>
                <w:rFonts w:asciiTheme="majorHAnsi" w:hAnsiTheme="majorHAnsi" w:cs="Arial"/>
                <w:color w:val="000000"/>
                <w:szCs w:val="20"/>
              </w:rPr>
              <w:t>Agencies use the USAS D23 Agency Fund level (Agency Defined) which rolls up to the</w:t>
            </w:r>
            <w:r w:rsidRPr="00841322">
              <w:rPr>
                <w:rFonts w:asciiTheme="majorHAnsi" w:hAnsiTheme="majorHAnsi" w:cs="Arial"/>
                <w:snapToGrid w:val="0"/>
                <w:color w:val="000000"/>
                <w:szCs w:val="20"/>
              </w:rPr>
              <w:t xml:space="preserve"> D22 Appropriated Fund (CPA Controlled) and the D24 GAAP Fund (CPA Controlled) for financial reporting.</w:t>
            </w:r>
          </w:p>
        </w:tc>
      </w:tr>
      <w:tr w:rsidR="00642F72" w:rsidRPr="00841322" w:rsidTr="00727147">
        <w:trPr>
          <w:cantSplit/>
        </w:trPr>
        <w:tc>
          <w:tcPr>
            <w:tcW w:w="1817" w:type="dxa"/>
            <w:shd w:val="clear" w:color="auto" w:fill="FFFF99"/>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Class Field</w:t>
            </w:r>
          </w:p>
        </w:tc>
        <w:tc>
          <w:tcPr>
            <w:tcW w:w="2290" w:type="dxa"/>
            <w:shd w:val="clear" w:color="auto" w:fill="FFFF99"/>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PCA</w:t>
            </w:r>
          </w:p>
        </w:tc>
        <w:tc>
          <w:tcPr>
            <w:tcW w:w="5626" w:type="dxa"/>
            <w:shd w:val="clear" w:color="auto" w:fill="FFFF99"/>
          </w:tcPr>
          <w:p w:rsidR="00642F72" w:rsidRPr="00841322" w:rsidRDefault="00642F72" w:rsidP="00442D53">
            <w:pPr>
              <w:overflowPunct w:val="0"/>
              <w:autoSpaceDE w:val="0"/>
              <w:autoSpaceDN w:val="0"/>
              <w:adjustRightInd w:val="0"/>
              <w:textAlignment w:val="baseline"/>
              <w:rPr>
                <w:rFonts w:asciiTheme="majorHAnsi" w:hAnsiTheme="majorHAnsi" w:cs="Arial"/>
                <w:szCs w:val="20"/>
              </w:rPr>
            </w:pPr>
            <w:r w:rsidRPr="00841322">
              <w:rPr>
                <w:rFonts w:asciiTheme="majorHAnsi" w:hAnsiTheme="majorHAnsi" w:cs="Arial"/>
                <w:szCs w:val="20"/>
              </w:rPr>
              <w:t xml:space="preserve">The </w:t>
            </w:r>
            <w:r w:rsidR="00442D53">
              <w:rPr>
                <w:rFonts w:asciiTheme="majorHAnsi" w:hAnsiTheme="majorHAnsi" w:cs="Arial"/>
                <w:color w:val="000000"/>
                <w:szCs w:val="20"/>
              </w:rPr>
              <w:t xml:space="preserve">Class </w:t>
            </w:r>
            <w:proofErr w:type="spellStart"/>
            <w:r w:rsidR="00442D53">
              <w:rPr>
                <w:rFonts w:asciiTheme="majorHAnsi" w:hAnsiTheme="majorHAnsi" w:cs="Arial"/>
                <w:color w:val="000000"/>
                <w:szCs w:val="20"/>
              </w:rPr>
              <w:t>ChartField</w:t>
            </w:r>
            <w:proofErr w:type="spellEnd"/>
            <w:r w:rsidRPr="00841322">
              <w:rPr>
                <w:rFonts w:asciiTheme="majorHAnsi" w:hAnsiTheme="majorHAnsi" w:cs="Arial"/>
                <w:color w:val="000000"/>
                <w:szCs w:val="20"/>
              </w:rPr>
              <w:t xml:space="preserve"> represents the PCA (Program Cost Account).  The PCA infers the Appropriation for accounting transactions in USAS. </w:t>
            </w:r>
          </w:p>
        </w:tc>
      </w:tr>
      <w:tr w:rsidR="00642F72" w:rsidRPr="00841322" w:rsidTr="00727147">
        <w:trPr>
          <w:cantSplit/>
        </w:trPr>
        <w:tc>
          <w:tcPr>
            <w:tcW w:w="1817" w:type="dxa"/>
            <w:shd w:val="clear" w:color="auto" w:fill="FFFF99"/>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Budget Reference</w:t>
            </w:r>
          </w:p>
        </w:tc>
        <w:tc>
          <w:tcPr>
            <w:tcW w:w="2290" w:type="dxa"/>
            <w:shd w:val="clear" w:color="auto" w:fill="FFFF99"/>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Appropriation Year</w:t>
            </w:r>
          </w:p>
        </w:tc>
        <w:tc>
          <w:tcPr>
            <w:tcW w:w="5626" w:type="dxa"/>
            <w:shd w:val="clear" w:color="auto" w:fill="FFFF99"/>
          </w:tcPr>
          <w:p w:rsidR="00642F72" w:rsidRPr="00841322" w:rsidRDefault="00642F72" w:rsidP="00E45AA5">
            <w:pPr>
              <w:spacing w:after="60"/>
              <w:rPr>
                <w:rFonts w:asciiTheme="majorHAnsi" w:hAnsiTheme="majorHAnsi" w:cs="Arial"/>
                <w:szCs w:val="20"/>
              </w:rPr>
            </w:pPr>
            <w:r>
              <w:rPr>
                <w:rFonts w:asciiTheme="majorHAnsi" w:hAnsiTheme="majorHAnsi" w:cs="Arial"/>
                <w:szCs w:val="20"/>
              </w:rPr>
              <w:t xml:space="preserve">Equivalent to the </w:t>
            </w:r>
            <w:r w:rsidRPr="00841322">
              <w:rPr>
                <w:rFonts w:asciiTheme="majorHAnsi" w:hAnsiTheme="majorHAnsi" w:cs="Arial"/>
                <w:szCs w:val="20"/>
              </w:rPr>
              <w:t>Appropriation Year for budgetary control.</w:t>
            </w:r>
          </w:p>
        </w:tc>
      </w:tr>
      <w:tr w:rsidR="00642F72" w:rsidRPr="00841322" w:rsidTr="00464D48">
        <w:trPr>
          <w:cantSplit/>
        </w:trPr>
        <w:tc>
          <w:tcPr>
            <w:tcW w:w="1817" w:type="dxa"/>
            <w:shd w:val="clear" w:color="auto" w:fill="E5DFEC" w:themeFill="accent4" w:themeFillTint="33"/>
          </w:tcPr>
          <w:p w:rsidR="00642F72" w:rsidRPr="00464D48" w:rsidRDefault="00642F72" w:rsidP="00E45AA5">
            <w:pPr>
              <w:rPr>
                <w:rFonts w:asciiTheme="majorHAnsi" w:hAnsiTheme="majorHAnsi" w:cs="Arial"/>
                <w:szCs w:val="20"/>
              </w:rPr>
            </w:pPr>
            <w:r w:rsidRPr="00464D48">
              <w:rPr>
                <w:rFonts w:asciiTheme="majorHAnsi" w:hAnsiTheme="majorHAnsi" w:cs="Arial"/>
                <w:szCs w:val="20"/>
              </w:rPr>
              <w:t>Department</w:t>
            </w:r>
          </w:p>
          <w:p w:rsidR="00642F72" w:rsidRPr="00464D48" w:rsidRDefault="00642F72" w:rsidP="00E45AA5">
            <w:pPr>
              <w:spacing w:after="60"/>
              <w:rPr>
                <w:rFonts w:asciiTheme="majorHAnsi" w:hAnsiTheme="majorHAnsi" w:cs="Arial"/>
                <w:szCs w:val="20"/>
              </w:rPr>
            </w:pPr>
          </w:p>
        </w:tc>
        <w:tc>
          <w:tcPr>
            <w:tcW w:w="2290" w:type="dxa"/>
            <w:shd w:val="clear" w:color="auto" w:fill="E5DFEC" w:themeFill="accent4" w:themeFillTint="33"/>
          </w:tcPr>
          <w:p w:rsidR="00642F72" w:rsidRPr="00464D48" w:rsidRDefault="00642F72" w:rsidP="00E45AA5">
            <w:pPr>
              <w:spacing w:after="60"/>
              <w:rPr>
                <w:rFonts w:asciiTheme="majorHAnsi" w:hAnsiTheme="majorHAnsi" w:cs="Arial"/>
                <w:szCs w:val="20"/>
              </w:rPr>
            </w:pPr>
            <w:r w:rsidRPr="00464D48">
              <w:rPr>
                <w:rFonts w:asciiTheme="majorHAnsi" w:hAnsiTheme="majorHAnsi" w:cs="Arial"/>
                <w:szCs w:val="20"/>
              </w:rPr>
              <w:t>Organization Code via USAS Index (USAS optional)</w:t>
            </w:r>
          </w:p>
        </w:tc>
        <w:tc>
          <w:tcPr>
            <w:tcW w:w="5626" w:type="dxa"/>
            <w:shd w:val="clear" w:color="auto" w:fill="E5DFEC" w:themeFill="accent4" w:themeFillTint="33"/>
          </w:tcPr>
          <w:p w:rsidR="00642F72" w:rsidRPr="00841322" w:rsidRDefault="00464D48" w:rsidP="00E45AA5">
            <w:pPr>
              <w:spacing w:after="60"/>
              <w:rPr>
                <w:rFonts w:asciiTheme="majorHAnsi" w:hAnsiTheme="majorHAnsi" w:cs="Arial"/>
                <w:szCs w:val="20"/>
              </w:rPr>
            </w:pPr>
            <w:proofErr w:type="spellStart"/>
            <w:r>
              <w:rPr>
                <w:rFonts w:asciiTheme="majorHAnsi" w:hAnsiTheme="majorHAnsi" w:cs="Arial"/>
                <w:color w:val="000000"/>
                <w:szCs w:val="20"/>
              </w:rPr>
              <w:t>Agy</w:t>
            </w:r>
            <w:proofErr w:type="spellEnd"/>
            <w:r>
              <w:rPr>
                <w:rFonts w:asciiTheme="majorHAnsi" w:hAnsiTheme="majorHAnsi" w:cs="Arial"/>
                <w:color w:val="000000"/>
                <w:szCs w:val="20"/>
              </w:rPr>
              <w:t xml:space="preserve"> 201 – Supreme Court and </w:t>
            </w:r>
            <w:proofErr w:type="spellStart"/>
            <w:r>
              <w:rPr>
                <w:rFonts w:asciiTheme="majorHAnsi" w:hAnsiTheme="majorHAnsi" w:cs="Arial"/>
                <w:color w:val="000000"/>
                <w:szCs w:val="20"/>
              </w:rPr>
              <w:t>Agy</w:t>
            </w:r>
            <w:proofErr w:type="spellEnd"/>
            <w:r>
              <w:rPr>
                <w:rFonts w:asciiTheme="majorHAnsi" w:hAnsiTheme="majorHAnsi" w:cs="Arial"/>
                <w:color w:val="000000"/>
                <w:szCs w:val="20"/>
              </w:rPr>
              <w:t xml:space="preserve"> 243 have multiple departments, but Department is not being used on transactions.</w:t>
            </w:r>
          </w:p>
        </w:tc>
      </w:tr>
      <w:tr w:rsidR="00642F72" w:rsidRPr="00841322" w:rsidTr="00642F72">
        <w:trPr>
          <w:cantSplit/>
          <w:trHeight w:val="584"/>
        </w:trPr>
        <w:tc>
          <w:tcPr>
            <w:tcW w:w="1817"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Program Code</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shd w:val="clear" w:color="auto" w:fill="auto"/>
          </w:tcPr>
          <w:p w:rsidR="00642F72" w:rsidRPr="00841322" w:rsidRDefault="00727147" w:rsidP="00E45AA5">
            <w:pPr>
              <w:rPr>
                <w:rFonts w:asciiTheme="majorHAnsi" w:hAnsiTheme="majorHAnsi" w:cs="Arial"/>
                <w:szCs w:val="20"/>
              </w:rPr>
            </w:pPr>
            <w:r>
              <w:rPr>
                <w:rFonts w:asciiTheme="majorHAnsi" w:hAnsiTheme="majorHAnsi" w:cs="Arial"/>
                <w:color w:val="000000"/>
                <w:szCs w:val="20"/>
              </w:rPr>
              <w:t>Not</w:t>
            </w:r>
            <w:r w:rsidR="00642F72">
              <w:rPr>
                <w:rFonts w:asciiTheme="majorHAnsi" w:hAnsiTheme="majorHAnsi" w:cs="Arial"/>
                <w:color w:val="000000"/>
                <w:szCs w:val="20"/>
              </w:rPr>
              <w:t xml:space="preserve"> being used.</w:t>
            </w:r>
            <w:bookmarkStart w:id="0" w:name="_GoBack"/>
            <w:bookmarkEnd w:id="0"/>
          </w:p>
        </w:tc>
      </w:tr>
      <w:tr w:rsidR="00642F72" w:rsidRPr="00841322" w:rsidTr="00642F72">
        <w:trPr>
          <w:cantSplit/>
        </w:trPr>
        <w:tc>
          <w:tcPr>
            <w:tcW w:w="1817"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Product</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tcPr>
          <w:p w:rsidR="00642F72" w:rsidRPr="00841322" w:rsidRDefault="00727147" w:rsidP="00E45AA5">
            <w:pPr>
              <w:spacing w:after="60"/>
              <w:rPr>
                <w:rFonts w:asciiTheme="majorHAnsi" w:hAnsiTheme="majorHAnsi" w:cs="Arial"/>
                <w:szCs w:val="20"/>
              </w:rPr>
            </w:pPr>
            <w:r>
              <w:rPr>
                <w:rFonts w:asciiTheme="majorHAnsi" w:hAnsiTheme="majorHAnsi" w:cs="Arial"/>
                <w:szCs w:val="20"/>
              </w:rPr>
              <w:t>Not</w:t>
            </w:r>
            <w:r w:rsidR="00642F72">
              <w:rPr>
                <w:rFonts w:asciiTheme="majorHAnsi" w:hAnsiTheme="majorHAnsi" w:cs="Arial"/>
                <w:szCs w:val="20"/>
              </w:rPr>
              <w:t xml:space="preserve"> being used.</w:t>
            </w:r>
          </w:p>
        </w:tc>
      </w:tr>
      <w:tr w:rsidR="00642F72" w:rsidRPr="00841322" w:rsidTr="00642F72">
        <w:trPr>
          <w:cantSplit/>
        </w:trPr>
        <w:tc>
          <w:tcPr>
            <w:tcW w:w="1817"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PC Business Unit</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tcPr>
          <w:p w:rsidR="00642F72" w:rsidRPr="00841322" w:rsidRDefault="00727147" w:rsidP="00513DA0">
            <w:pPr>
              <w:spacing w:after="60"/>
              <w:rPr>
                <w:rFonts w:asciiTheme="majorHAnsi" w:hAnsiTheme="majorHAnsi" w:cs="Arial"/>
                <w:szCs w:val="20"/>
              </w:rPr>
            </w:pPr>
            <w:r>
              <w:rPr>
                <w:rFonts w:asciiTheme="majorHAnsi" w:hAnsiTheme="majorHAnsi" w:cs="Arial"/>
                <w:szCs w:val="20"/>
              </w:rPr>
              <w:t>Not</w:t>
            </w:r>
            <w:r w:rsidR="00642F72">
              <w:rPr>
                <w:rFonts w:asciiTheme="majorHAnsi" w:hAnsiTheme="majorHAnsi" w:cs="Arial"/>
                <w:szCs w:val="20"/>
              </w:rPr>
              <w:t xml:space="preserve"> being used.</w:t>
            </w:r>
          </w:p>
        </w:tc>
      </w:tr>
      <w:tr w:rsidR="00642F72" w:rsidRPr="00841322" w:rsidTr="00727147">
        <w:trPr>
          <w:cantSplit/>
          <w:trHeight w:val="521"/>
        </w:trPr>
        <w:tc>
          <w:tcPr>
            <w:tcW w:w="1817" w:type="dxa"/>
            <w:shd w:val="clear" w:color="auto" w:fill="E5DFEC" w:themeFill="accent4" w:themeFillTint="33"/>
          </w:tcPr>
          <w:p w:rsidR="00642F72" w:rsidRPr="00841322" w:rsidRDefault="00642F72" w:rsidP="00E45AA5">
            <w:pPr>
              <w:rPr>
                <w:rFonts w:asciiTheme="majorHAnsi" w:hAnsiTheme="majorHAnsi" w:cs="Arial"/>
                <w:szCs w:val="20"/>
              </w:rPr>
            </w:pPr>
            <w:r w:rsidRPr="00841322">
              <w:rPr>
                <w:rFonts w:asciiTheme="majorHAnsi" w:hAnsiTheme="majorHAnsi" w:cs="Arial"/>
                <w:szCs w:val="20"/>
              </w:rPr>
              <w:t xml:space="preserve">Project </w:t>
            </w:r>
          </w:p>
        </w:tc>
        <w:tc>
          <w:tcPr>
            <w:tcW w:w="2290" w:type="dxa"/>
            <w:shd w:val="clear" w:color="auto" w:fill="E5DFEC" w:themeFill="accent4" w:themeFillTint="33"/>
          </w:tcPr>
          <w:p w:rsidR="00642F72" w:rsidRPr="00841322" w:rsidRDefault="00642F72" w:rsidP="00884AFD">
            <w:pPr>
              <w:spacing w:after="60"/>
              <w:rPr>
                <w:rFonts w:asciiTheme="majorHAnsi" w:hAnsiTheme="majorHAnsi" w:cs="Arial"/>
                <w:szCs w:val="20"/>
              </w:rPr>
            </w:pPr>
            <w:r w:rsidRPr="00841322">
              <w:rPr>
                <w:rFonts w:asciiTheme="majorHAnsi" w:hAnsiTheme="majorHAnsi" w:cs="Arial"/>
                <w:szCs w:val="20"/>
              </w:rPr>
              <w:t>Project Number (USAS optional)</w:t>
            </w:r>
          </w:p>
        </w:tc>
        <w:tc>
          <w:tcPr>
            <w:tcW w:w="5626" w:type="dxa"/>
            <w:shd w:val="clear" w:color="auto" w:fill="E5DFEC" w:themeFill="accent4" w:themeFillTint="33"/>
          </w:tcPr>
          <w:p w:rsidR="00642F72" w:rsidRPr="00841322" w:rsidRDefault="00727147" w:rsidP="00E45AA5">
            <w:pPr>
              <w:rPr>
                <w:rFonts w:asciiTheme="majorHAnsi" w:hAnsiTheme="majorHAnsi" w:cs="Arial"/>
                <w:szCs w:val="20"/>
              </w:rPr>
            </w:pPr>
            <w:r>
              <w:rPr>
                <w:rFonts w:asciiTheme="majorHAnsi" w:hAnsiTheme="majorHAnsi" w:cs="Arial"/>
                <w:szCs w:val="20"/>
              </w:rPr>
              <w:t xml:space="preserve">Only being used by </w:t>
            </w:r>
            <w:proofErr w:type="spellStart"/>
            <w:r>
              <w:rPr>
                <w:rFonts w:asciiTheme="majorHAnsi" w:hAnsiTheme="majorHAnsi" w:cs="Arial"/>
                <w:szCs w:val="20"/>
              </w:rPr>
              <w:t>Agy</w:t>
            </w:r>
            <w:proofErr w:type="spellEnd"/>
            <w:r>
              <w:rPr>
                <w:rFonts w:asciiTheme="majorHAnsi" w:hAnsiTheme="majorHAnsi" w:cs="Arial"/>
                <w:szCs w:val="20"/>
              </w:rPr>
              <w:t xml:space="preserve"> 201 – Supreme Court</w:t>
            </w:r>
            <w:r w:rsidR="00464D48">
              <w:rPr>
                <w:rFonts w:asciiTheme="majorHAnsi" w:hAnsiTheme="majorHAnsi" w:cs="Arial"/>
                <w:szCs w:val="20"/>
              </w:rPr>
              <w:t xml:space="preserve"> to track what is spent on CIP (Court Improvement Program)</w:t>
            </w:r>
          </w:p>
        </w:tc>
      </w:tr>
      <w:tr w:rsidR="00642F72" w:rsidRPr="00841322" w:rsidTr="00727147">
        <w:trPr>
          <w:cantSplit/>
        </w:trPr>
        <w:tc>
          <w:tcPr>
            <w:tcW w:w="1817" w:type="dxa"/>
            <w:shd w:val="clear" w:color="auto" w:fill="FFFFFF" w:themeFill="background1"/>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Activity</w:t>
            </w:r>
          </w:p>
        </w:tc>
        <w:tc>
          <w:tcPr>
            <w:tcW w:w="2290" w:type="dxa"/>
            <w:shd w:val="clear" w:color="auto" w:fill="FFFFFF" w:themeFill="background1"/>
          </w:tcPr>
          <w:p w:rsidR="00642F72" w:rsidRPr="00841322" w:rsidRDefault="00642F72" w:rsidP="00884AFD">
            <w:pPr>
              <w:spacing w:after="60"/>
              <w:rPr>
                <w:rFonts w:asciiTheme="majorHAnsi" w:hAnsiTheme="majorHAnsi" w:cs="Arial"/>
                <w:szCs w:val="20"/>
              </w:rPr>
            </w:pPr>
            <w:r w:rsidRPr="00841322">
              <w:rPr>
                <w:rFonts w:asciiTheme="majorHAnsi" w:hAnsiTheme="majorHAnsi" w:cs="Arial"/>
                <w:szCs w:val="20"/>
              </w:rPr>
              <w:t xml:space="preserve">Project </w:t>
            </w:r>
            <w:proofErr w:type="gramStart"/>
            <w:r w:rsidRPr="00841322">
              <w:rPr>
                <w:rFonts w:asciiTheme="majorHAnsi" w:hAnsiTheme="majorHAnsi" w:cs="Arial"/>
                <w:szCs w:val="20"/>
              </w:rPr>
              <w:t>Phase  (</w:t>
            </w:r>
            <w:proofErr w:type="gramEnd"/>
            <w:r w:rsidRPr="00841322">
              <w:rPr>
                <w:rFonts w:asciiTheme="majorHAnsi" w:hAnsiTheme="majorHAnsi" w:cs="Arial"/>
                <w:szCs w:val="20"/>
              </w:rPr>
              <w:t>USAS optional)</w:t>
            </w:r>
          </w:p>
        </w:tc>
        <w:tc>
          <w:tcPr>
            <w:tcW w:w="5626" w:type="dxa"/>
          </w:tcPr>
          <w:p w:rsidR="00642F72" w:rsidRPr="00841322" w:rsidRDefault="00642F72" w:rsidP="00E45AA5">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Not being used.</w:t>
            </w:r>
          </w:p>
        </w:tc>
      </w:tr>
      <w:tr w:rsidR="00642F72" w:rsidRPr="00841322" w:rsidTr="00642F72">
        <w:trPr>
          <w:cantSplit/>
        </w:trPr>
        <w:tc>
          <w:tcPr>
            <w:tcW w:w="1817"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Source Type</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tcPr>
          <w:p w:rsidR="00642F72" w:rsidRPr="00841322" w:rsidRDefault="00642F72" w:rsidP="00642F72">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Not being used.</w:t>
            </w:r>
          </w:p>
        </w:tc>
      </w:tr>
      <w:tr w:rsidR="00642F72" w:rsidRPr="00841322" w:rsidTr="00642F72">
        <w:trPr>
          <w:cantSplit/>
        </w:trPr>
        <w:tc>
          <w:tcPr>
            <w:tcW w:w="1817"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Category</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tcPr>
          <w:p w:rsidR="00642F72" w:rsidRPr="00841322" w:rsidRDefault="00642F72" w:rsidP="00E45AA5">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Not being used.</w:t>
            </w:r>
          </w:p>
        </w:tc>
      </w:tr>
      <w:tr w:rsidR="00642F72" w:rsidRPr="00841322" w:rsidTr="00642F72">
        <w:trPr>
          <w:cantSplit/>
        </w:trPr>
        <w:tc>
          <w:tcPr>
            <w:tcW w:w="1817"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Subcategory</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tcPr>
          <w:p w:rsidR="00642F72" w:rsidRPr="00841322" w:rsidRDefault="00642F72" w:rsidP="00E45AA5">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Not being used.</w:t>
            </w:r>
          </w:p>
        </w:tc>
      </w:tr>
      <w:tr w:rsidR="00642F72" w:rsidRPr="00841322" w:rsidTr="00727147">
        <w:trPr>
          <w:cantSplit/>
        </w:trPr>
        <w:tc>
          <w:tcPr>
            <w:tcW w:w="1817" w:type="dxa"/>
            <w:shd w:val="clear" w:color="auto" w:fill="E5DFEC" w:themeFill="accent4" w:themeFillTint="33"/>
          </w:tcPr>
          <w:p w:rsidR="00642F72" w:rsidRPr="00841322" w:rsidRDefault="00642F72" w:rsidP="00E45AA5">
            <w:pPr>
              <w:spacing w:after="60"/>
              <w:rPr>
                <w:rFonts w:asciiTheme="majorHAnsi" w:hAnsiTheme="majorHAnsi" w:cs="Arial"/>
                <w:szCs w:val="20"/>
              </w:rPr>
            </w:pPr>
            <w:proofErr w:type="spellStart"/>
            <w:r w:rsidRPr="00841322">
              <w:rPr>
                <w:rFonts w:asciiTheme="majorHAnsi" w:hAnsiTheme="majorHAnsi" w:cs="Arial"/>
                <w:szCs w:val="20"/>
              </w:rPr>
              <w:t>ChartField</w:t>
            </w:r>
            <w:proofErr w:type="spellEnd"/>
            <w:r w:rsidRPr="00841322">
              <w:rPr>
                <w:rFonts w:asciiTheme="majorHAnsi" w:hAnsiTheme="majorHAnsi" w:cs="Arial"/>
                <w:szCs w:val="20"/>
              </w:rPr>
              <w:t xml:space="preserve"> 1</w:t>
            </w:r>
          </w:p>
        </w:tc>
        <w:tc>
          <w:tcPr>
            <w:tcW w:w="2290" w:type="dxa"/>
            <w:shd w:val="clear" w:color="auto" w:fill="E5DFEC" w:themeFill="accent4" w:themeFillTint="33"/>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shd w:val="clear" w:color="auto" w:fill="E5DFEC" w:themeFill="accent4" w:themeFillTint="33"/>
          </w:tcPr>
          <w:p w:rsidR="00642F72" w:rsidRDefault="00727147" w:rsidP="00E45AA5">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 xml:space="preserve">Used by </w:t>
            </w:r>
            <w:proofErr w:type="spellStart"/>
            <w:r>
              <w:rPr>
                <w:rFonts w:asciiTheme="majorHAnsi" w:hAnsiTheme="majorHAnsi" w:cs="Arial"/>
                <w:szCs w:val="20"/>
              </w:rPr>
              <w:t>Agy</w:t>
            </w:r>
            <w:proofErr w:type="spellEnd"/>
            <w:r>
              <w:rPr>
                <w:rFonts w:asciiTheme="majorHAnsi" w:hAnsiTheme="majorHAnsi" w:cs="Arial"/>
                <w:szCs w:val="20"/>
              </w:rPr>
              <w:t xml:space="preserve"> 242 – State Commission on Judicial Conduct to identify how much is spent on Formal Appeals</w:t>
            </w:r>
          </w:p>
          <w:p w:rsidR="00727147" w:rsidRPr="00841322" w:rsidRDefault="00727147" w:rsidP="00E45AA5">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 xml:space="preserve">Used by </w:t>
            </w:r>
            <w:proofErr w:type="spellStart"/>
            <w:r>
              <w:rPr>
                <w:rFonts w:asciiTheme="majorHAnsi" w:hAnsiTheme="majorHAnsi" w:cs="Arial"/>
                <w:szCs w:val="20"/>
              </w:rPr>
              <w:t>Agy</w:t>
            </w:r>
            <w:proofErr w:type="spellEnd"/>
            <w:r>
              <w:rPr>
                <w:rFonts w:asciiTheme="majorHAnsi" w:hAnsiTheme="majorHAnsi" w:cs="Arial"/>
                <w:szCs w:val="20"/>
              </w:rPr>
              <w:t xml:space="preserve"> 243 – State Law Library to identify how much is spent on Capitalized books</w:t>
            </w:r>
          </w:p>
        </w:tc>
      </w:tr>
      <w:tr w:rsidR="00642F72" w:rsidRPr="00841322" w:rsidTr="00642F72">
        <w:trPr>
          <w:cantSplit/>
        </w:trPr>
        <w:tc>
          <w:tcPr>
            <w:tcW w:w="1817" w:type="dxa"/>
          </w:tcPr>
          <w:p w:rsidR="00642F72" w:rsidRPr="00841322" w:rsidRDefault="00642F72" w:rsidP="00E45AA5">
            <w:pPr>
              <w:spacing w:after="60"/>
              <w:rPr>
                <w:rFonts w:asciiTheme="majorHAnsi" w:hAnsiTheme="majorHAnsi" w:cs="Arial"/>
                <w:szCs w:val="20"/>
              </w:rPr>
            </w:pPr>
            <w:proofErr w:type="spellStart"/>
            <w:r w:rsidRPr="00841322">
              <w:rPr>
                <w:rFonts w:asciiTheme="majorHAnsi" w:hAnsiTheme="majorHAnsi" w:cs="Arial"/>
                <w:szCs w:val="20"/>
              </w:rPr>
              <w:t>ChartField</w:t>
            </w:r>
            <w:proofErr w:type="spellEnd"/>
            <w:r w:rsidRPr="00841322">
              <w:rPr>
                <w:rFonts w:asciiTheme="majorHAnsi" w:hAnsiTheme="majorHAnsi" w:cs="Arial"/>
                <w:szCs w:val="20"/>
              </w:rPr>
              <w:t xml:space="preserve"> 2</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tcPr>
          <w:p w:rsidR="00642F72" w:rsidRPr="00841322" w:rsidRDefault="00642F72" w:rsidP="00E45AA5">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Not being used.</w:t>
            </w:r>
          </w:p>
        </w:tc>
      </w:tr>
      <w:tr w:rsidR="00642F72" w:rsidRPr="00841322" w:rsidTr="00642F72">
        <w:trPr>
          <w:cantSplit/>
        </w:trPr>
        <w:tc>
          <w:tcPr>
            <w:tcW w:w="1817" w:type="dxa"/>
          </w:tcPr>
          <w:p w:rsidR="00642F72" w:rsidRPr="00841322" w:rsidRDefault="00642F72" w:rsidP="00E45AA5">
            <w:pPr>
              <w:spacing w:after="60"/>
              <w:rPr>
                <w:rFonts w:asciiTheme="majorHAnsi" w:hAnsiTheme="majorHAnsi" w:cs="Arial"/>
                <w:szCs w:val="20"/>
              </w:rPr>
            </w:pPr>
            <w:proofErr w:type="spellStart"/>
            <w:r w:rsidRPr="00841322">
              <w:rPr>
                <w:rFonts w:asciiTheme="majorHAnsi" w:hAnsiTheme="majorHAnsi" w:cs="Arial"/>
                <w:szCs w:val="20"/>
              </w:rPr>
              <w:t>ChartField</w:t>
            </w:r>
            <w:proofErr w:type="spellEnd"/>
            <w:r w:rsidRPr="00841322">
              <w:rPr>
                <w:rFonts w:asciiTheme="majorHAnsi" w:hAnsiTheme="majorHAnsi" w:cs="Arial"/>
                <w:szCs w:val="20"/>
              </w:rPr>
              <w:t xml:space="preserve"> 3</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tcPr>
          <w:p w:rsidR="00642F72" w:rsidRPr="00841322" w:rsidRDefault="00642F72" w:rsidP="00E45AA5">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Not being used.</w:t>
            </w:r>
          </w:p>
        </w:tc>
      </w:tr>
      <w:tr w:rsidR="00642F72" w:rsidRPr="00841322" w:rsidTr="00642F72">
        <w:trPr>
          <w:cantSplit/>
        </w:trPr>
        <w:tc>
          <w:tcPr>
            <w:tcW w:w="1817"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Operating Unit</w:t>
            </w:r>
          </w:p>
        </w:tc>
        <w:tc>
          <w:tcPr>
            <w:tcW w:w="2290" w:type="dxa"/>
          </w:tcPr>
          <w:p w:rsidR="00642F72" w:rsidRPr="00841322" w:rsidRDefault="00642F72" w:rsidP="00E45AA5">
            <w:pPr>
              <w:spacing w:after="60"/>
              <w:rPr>
                <w:rFonts w:asciiTheme="majorHAnsi" w:hAnsiTheme="majorHAnsi" w:cs="Arial"/>
                <w:szCs w:val="20"/>
              </w:rPr>
            </w:pPr>
            <w:r w:rsidRPr="00841322">
              <w:rPr>
                <w:rFonts w:asciiTheme="majorHAnsi" w:hAnsiTheme="majorHAnsi" w:cs="Arial"/>
                <w:szCs w:val="20"/>
              </w:rPr>
              <w:t>No USAS relationship</w:t>
            </w:r>
          </w:p>
        </w:tc>
        <w:tc>
          <w:tcPr>
            <w:tcW w:w="5626" w:type="dxa"/>
          </w:tcPr>
          <w:p w:rsidR="00642F72" w:rsidRPr="00841322" w:rsidRDefault="00642F72" w:rsidP="00637CB2">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Not being used.</w:t>
            </w:r>
          </w:p>
        </w:tc>
      </w:tr>
    </w:tbl>
    <w:p w:rsidR="00513DA0" w:rsidRDefault="00513DA0"/>
    <w:sectPr w:rsidR="00513DA0" w:rsidSect="00841322">
      <w:headerReference w:type="even" r:id="rId8"/>
      <w:headerReference w:type="default" r:id="rId9"/>
      <w:footerReference w:type="even" r:id="rId10"/>
      <w:footerReference w:type="default" r:id="rId11"/>
      <w:headerReference w:type="first" r:id="rId12"/>
      <w:footerReference w:type="first" r:id="rId13"/>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84" w:rsidRDefault="00875D84" w:rsidP="00875D84">
      <w:pPr>
        <w:spacing w:after="0" w:line="240" w:lineRule="auto"/>
      </w:pPr>
      <w:r>
        <w:separator/>
      </w:r>
    </w:p>
  </w:endnote>
  <w:endnote w:type="continuationSeparator" w:id="0">
    <w:p w:rsidR="00875D84" w:rsidRDefault="00875D84" w:rsidP="0087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84" w:rsidRDefault="00875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84" w:rsidRDefault="00875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84" w:rsidRDefault="0087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84" w:rsidRDefault="00875D84" w:rsidP="00875D84">
      <w:pPr>
        <w:spacing w:after="0" w:line="240" w:lineRule="auto"/>
      </w:pPr>
      <w:r>
        <w:separator/>
      </w:r>
    </w:p>
  </w:footnote>
  <w:footnote w:type="continuationSeparator" w:id="0">
    <w:p w:rsidR="00875D84" w:rsidRDefault="00875D84" w:rsidP="0087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84" w:rsidRDefault="00875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84" w:rsidRDefault="00875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84" w:rsidRDefault="00875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A0"/>
    <w:rsid w:val="00093623"/>
    <w:rsid w:val="000A01A7"/>
    <w:rsid w:val="000E1339"/>
    <w:rsid w:val="001D7867"/>
    <w:rsid w:val="002051E7"/>
    <w:rsid w:val="00442D53"/>
    <w:rsid w:val="00464D48"/>
    <w:rsid w:val="00513DA0"/>
    <w:rsid w:val="00637CB2"/>
    <w:rsid w:val="00642F72"/>
    <w:rsid w:val="00727147"/>
    <w:rsid w:val="00766268"/>
    <w:rsid w:val="00841322"/>
    <w:rsid w:val="00875D84"/>
    <w:rsid w:val="00884AFD"/>
    <w:rsid w:val="00926338"/>
    <w:rsid w:val="00967819"/>
    <w:rsid w:val="00AE4AB5"/>
    <w:rsid w:val="00C72DD6"/>
    <w:rsid w:val="00CC4D65"/>
    <w:rsid w:val="00D572D6"/>
    <w:rsid w:val="00E45AA5"/>
    <w:rsid w:val="00E67CE8"/>
    <w:rsid w:val="00EE4656"/>
    <w:rsid w:val="00FE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04E3167"/>
  <w15:docId w15:val="{04CB4100-8E27-4DEA-9D3C-B6FB2FB1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3DA0"/>
    <w:pPr>
      <w:spacing w:after="20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FE0345"/>
    <w:pPr>
      <w:spacing w:after="0" w:line="240" w:lineRule="auto"/>
      <w:jc w:val="center"/>
    </w:pPr>
    <w:rPr>
      <w:rFonts w:ascii="Arial" w:eastAsia="Times New Roman" w:hAnsi="Arial" w:cs="Arial"/>
      <w:b/>
      <w:bCs/>
      <w:caps/>
      <w:szCs w:val="24"/>
    </w:rPr>
  </w:style>
  <w:style w:type="paragraph" w:customStyle="1" w:styleId="StyleTableheading12pt">
    <w:name w:val="Style Table heading + 12 pt"/>
    <w:basedOn w:val="Normal"/>
    <w:rsid w:val="00513DA0"/>
    <w:pPr>
      <w:spacing w:before="120" w:after="120" w:line="240" w:lineRule="auto"/>
      <w:jc w:val="center"/>
    </w:pPr>
    <w:rPr>
      <w:rFonts w:ascii="Arial" w:eastAsia="Times New Roman" w:hAnsi="Arial" w:cs="Times New Roman"/>
      <w:b/>
      <w:bCs/>
      <w:sz w:val="24"/>
      <w:szCs w:val="20"/>
    </w:rPr>
  </w:style>
  <w:style w:type="paragraph" w:styleId="NormalWeb">
    <w:name w:val="Normal (Web)"/>
    <w:basedOn w:val="Normal"/>
    <w:semiHidden/>
    <w:rsid w:val="00513D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0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345"/>
    <w:rPr>
      <w:rFonts w:ascii="Tahoma" w:hAnsi="Tahoma" w:cs="Tahoma"/>
      <w:sz w:val="16"/>
      <w:szCs w:val="16"/>
    </w:rPr>
  </w:style>
  <w:style w:type="paragraph" w:styleId="Header">
    <w:name w:val="header"/>
    <w:basedOn w:val="Normal"/>
    <w:link w:val="HeaderChar"/>
    <w:uiPriority w:val="99"/>
    <w:unhideWhenUsed/>
    <w:rsid w:val="00875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D84"/>
    <w:rPr>
      <w:sz w:val="20"/>
    </w:rPr>
  </w:style>
  <w:style w:type="paragraph" w:styleId="Footer">
    <w:name w:val="footer"/>
    <w:basedOn w:val="Normal"/>
    <w:link w:val="FooterChar"/>
    <w:uiPriority w:val="99"/>
    <w:unhideWhenUsed/>
    <w:rsid w:val="00875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8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DB89-D6AE-423A-A401-DCA08CF0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Schiurring</dc:creator>
  <cp:lastModifiedBy>Becky Taylor</cp:lastModifiedBy>
  <cp:revision>5</cp:revision>
  <cp:lastPrinted>2013-12-04T16:29:00Z</cp:lastPrinted>
  <dcterms:created xsi:type="dcterms:W3CDTF">2017-02-16T14:46:00Z</dcterms:created>
  <dcterms:modified xsi:type="dcterms:W3CDTF">2017-05-10T20:05:00Z</dcterms:modified>
</cp:coreProperties>
</file>